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534E7" w14:textId="31BBC6C5" w:rsidR="00C67F43" w:rsidRPr="0052548E" w:rsidRDefault="00C67F43" w:rsidP="00C67F43">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Pr="0052548E">
        <w:rPr>
          <w:rFonts w:ascii="Arial" w:hAnsi="Arial" w:cs="Arial"/>
          <w:b/>
          <w:bCs/>
          <w:sz w:val="28"/>
        </w:rPr>
        <w:t>R1-</w:t>
      </w:r>
      <w:r w:rsidR="004E0C98" w:rsidRPr="004E0C98">
        <w:rPr>
          <w:rFonts w:ascii="Arial" w:hAnsi="Arial" w:cs="Arial"/>
          <w:b/>
          <w:bCs/>
          <w:sz w:val="28"/>
        </w:rPr>
        <w:t>1611634</w:t>
      </w:r>
    </w:p>
    <w:p w14:paraId="2E6B2895" w14:textId="77777777" w:rsidR="00C67F43" w:rsidRPr="0052548E" w:rsidRDefault="00C67F43" w:rsidP="00C67F43">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0AC1E20"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BC26DE">
        <w:rPr>
          <w:rFonts w:ascii="Arial" w:hAnsi="Arial" w:cs="Arial"/>
          <w:snapToGrid w:val="0"/>
          <w:sz w:val="24"/>
        </w:rPr>
        <w:t>6</w:t>
      </w:r>
      <w:r w:rsidR="00335B11">
        <w:rPr>
          <w:rFonts w:ascii="Arial" w:hAnsi="Arial" w:cs="Arial"/>
          <w:snapToGrid w:val="0"/>
          <w:sz w:val="24"/>
        </w:rPr>
        <w:t>.2.</w:t>
      </w:r>
      <w:r w:rsidR="0053253C">
        <w:rPr>
          <w:rFonts w:ascii="Arial" w:hAnsi="Arial" w:cs="Arial"/>
          <w:snapToGrid w:val="0"/>
          <w:sz w:val="24"/>
        </w:rPr>
        <w:t>9</w:t>
      </w:r>
      <w:r w:rsidR="0047204B">
        <w:rPr>
          <w:rFonts w:ascii="Arial" w:hAnsi="Arial" w:cs="Arial"/>
          <w:snapToGrid w:val="0"/>
          <w:sz w:val="24"/>
        </w:rPr>
        <w:t>.</w:t>
      </w:r>
      <w:r w:rsidR="008141BE">
        <w:rPr>
          <w:rFonts w:ascii="Arial" w:hAnsi="Arial" w:cs="Arial"/>
          <w:snapToGrid w:val="0"/>
          <w:sz w:val="24"/>
        </w:rPr>
        <w:t>4</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15B5A72"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8141BE">
        <w:rPr>
          <w:rFonts w:ascii="Arial" w:hAnsi="Arial" w:cs="Arial"/>
          <w:snapToGrid w:val="0"/>
          <w:sz w:val="24"/>
        </w:rPr>
        <w:t>Support of larger TBS and 2 HARQ processes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6BDB699C"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 xml:space="preserve">non-anchor PRB enhancements, mobility and </w:t>
      </w:r>
      <w:r w:rsidR="008141BE">
        <w:rPr>
          <w:rFonts w:ascii="Times New Roman"/>
          <w:snapToGrid w:val="0"/>
          <w:kern w:val="0"/>
          <w:sz w:val="22"/>
          <w:szCs w:val="22"/>
          <w:lang w:val="en-GB"/>
        </w:rPr>
        <w:t>higher data rates</w:t>
      </w:r>
      <w:r w:rsidR="00FF47FD">
        <w:rPr>
          <w:rFonts w:ascii="Times New Roman"/>
          <w:snapToGrid w:val="0"/>
          <w:kern w:val="0"/>
          <w:sz w:val="22"/>
          <w:szCs w:val="22"/>
          <w:lang w:val="en-GB"/>
        </w:rPr>
        <w:t>.</w:t>
      </w:r>
      <w:r w:rsidR="0053253C">
        <w:rPr>
          <w:rFonts w:ascii="Times New Roman"/>
          <w:snapToGrid w:val="0"/>
          <w:kern w:val="0"/>
          <w:sz w:val="22"/>
          <w:szCs w:val="22"/>
          <w:lang w:val="en-GB"/>
        </w:rPr>
        <w:t xml:space="preserve"> In RAN1#86</w:t>
      </w:r>
      <w:r w:rsidR="008141BE">
        <w:rPr>
          <w:rFonts w:ascii="Times New Roman"/>
          <w:snapToGrid w:val="0"/>
          <w:kern w:val="0"/>
          <w:sz w:val="22"/>
          <w:szCs w:val="22"/>
          <w:lang w:val="en-GB"/>
        </w:rPr>
        <w:t>b</w:t>
      </w:r>
      <w:r w:rsidR="0053253C">
        <w:rPr>
          <w:rFonts w:ascii="Times New Roman"/>
          <w:snapToGrid w:val="0"/>
          <w:kern w:val="0"/>
          <w:sz w:val="22"/>
          <w:szCs w:val="22"/>
          <w:lang w:val="en-GB"/>
        </w:rPr>
        <w:t xml:space="preserve"> the following agreement</w:t>
      </w:r>
      <w:r w:rsidR="008141BE">
        <w:rPr>
          <w:rFonts w:ascii="Times New Roman"/>
          <w:snapToGrid w:val="0"/>
          <w:kern w:val="0"/>
          <w:sz w:val="22"/>
          <w:szCs w:val="22"/>
          <w:lang w:val="en-GB"/>
        </w:rPr>
        <w:t>s</w:t>
      </w:r>
      <w:r w:rsidR="0053253C">
        <w:rPr>
          <w:rFonts w:ascii="Times New Roman"/>
          <w:snapToGrid w:val="0"/>
          <w:kern w:val="0"/>
          <w:sz w:val="22"/>
          <w:szCs w:val="22"/>
          <w:lang w:val="en-GB"/>
        </w:rPr>
        <w:t xml:space="preserve"> w</w:t>
      </w:r>
      <w:r w:rsidR="008141BE">
        <w:rPr>
          <w:rFonts w:ascii="Times New Roman"/>
          <w:snapToGrid w:val="0"/>
          <w:kern w:val="0"/>
          <w:sz w:val="22"/>
          <w:szCs w:val="22"/>
          <w:lang w:val="en-GB"/>
        </w:rPr>
        <w:t>ere</w:t>
      </w:r>
      <w:r w:rsidR="0053253C">
        <w:rPr>
          <w:rFonts w:ascii="Times New Roman"/>
          <w:snapToGrid w:val="0"/>
          <w:kern w:val="0"/>
          <w:sz w:val="22"/>
          <w:szCs w:val="22"/>
          <w:lang w:val="en-GB"/>
        </w:rPr>
        <w:t xml:space="preserve"> reached:</w:t>
      </w:r>
    </w:p>
    <w:p w14:paraId="2E93E659" w14:textId="77777777" w:rsidR="008141BE" w:rsidRDefault="008141BE" w:rsidP="00111B9A">
      <w:pPr>
        <w:overflowPunct w:val="0"/>
        <w:adjustRightInd w:val="0"/>
        <w:spacing w:after="120"/>
        <w:contextualSpacing/>
        <w:textAlignment w:val="baseline"/>
        <w:rPr>
          <w:rFonts w:ascii="Times New Roman"/>
          <w:snapToGrid w:val="0"/>
          <w:kern w:val="0"/>
          <w:sz w:val="22"/>
          <w:szCs w:val="22"/>
          <w:lang w:val="en-GB"/>
        </w:rPr>
      </w:pPr>
    </w:p>
    <w:p w14:paraId="06837D14" w14:textId="77777777" w:rsidR="008141BE" w:rsidRPr="008141BE" w:rsidRDefault="008141BE" w:rsidP="008141BE">
      <w:pPr>
        <w:rPr>
          <w:rFonts w:ascii="Times New Roman"/>
          <w:sz w:val="22"/>
          <w:szCs w:val="22"/>
          <w:highlight w:val="green"/>
        </w:rPr>
      </w:pPr>
      <w:r w:rsidRPr="008141BE">
        <w:rPr>
          <w:rFonts w:ascii="Times New Roman"/>
          <w:sz w:val="22"/>
          <w:szCs w:val="22"/>
          <w:highlight w:val="green"/>
        </w:rPr>
        <w:t>Agreement:</w:t>
      </w:r>
    </w:p>
    <w:p w14:paraId="7D620FF9" w14:textId="77777777" w:rsidR="008141BE" w:rsidRPr="008141BE" w:rsidRDefault="008141BE" w:rsidP="008141BE">
      <w:pPr>
        <w:widowControl/>
        <w:numPr>
          <w:ilvl w:val="0"/>
          <w:numId w:val="17"/>
        </w:numPr>
        <w:wordWrap/>
        <w:autoSpaceDE/>
        <w:autoSpaceDN/>
        <w:jc w:val="left"/>
        <w:rPr>
          <w:rFonts w:ascii="Times New Roman"/>
          <w:sz w:val="22"/>
          <w:szCs w:val="22"/>
        </w:rPr>
      </w:pPr>
      <w:r w:rsidRPr="008141BE">
        <w:rPr>
          <w:rFonts w:ascii="Times New Roman"/>
          <w:sz w:val="22"/>
          <w:szCs w:val="22"/>
        </w:rPr>
        <w:t>Maximum DL TBS is 1352 bits</w:t>
      </w:r>
    </w:p>
    <w:p w14:paraId="360BCE00" w14:textId="77777777" w:rsidR="008141BE" w:rsidRPr="008141BE" w:rsidRDefault="008141BE" w:rsidP="008141BE">
      <w:pPr>
        <w:widowControl/>
        <w:numPr>
          <w:ilvl w:val="0"/>
          <w:numId w:val="17"/>
        </w:numPr>
        <w:wordWrap/>
        <w:autoSpaceDE/>
        <w:autoSpaceDN/>
        <w:jc w:val="left"/>
        <w:rPr>
          <w:rFonts w:ascii="Times New Roman"/>
          <w:sz w:val="22"/>
          <w:szCs w:val="22"/>
        </w:rPr>
      </w:pPr>
      <w:r w:rsidRPr="008141BE">
        <w:rPr>
          <w:rFonts w:ascii="Times New Roman"/>
          <w:sz w:val="22"/>
          <w:szCs w:val="22"/>
        </w:rPr>
        <w:t>Maximum UL TBS is 1800 bits</w:t>
      </w:r>
    </w:p>
    <w:p w14:paraId="7DEAAA4A" w14:textId="77777777" w:rsidR="008141BE" w:rsidRPr="008141BE" w:rsidRDefault="008141BE" w:rsidP="008141BE">
      <w:pPr>
        <w:widowControl/>
        <w:numPr>
          <w:ilvl w:val="0"/>
          <w:numId w:val="17"/>
        </w:numPr>
        <w:wordWrap/>
        <w:autoSpaceDE/>
        <w:autoSpaceDN/>
        <w:jc w:val="left"/>
        <w:rPr>
          <w:rFonts w:ascii="Times New Roman"/>
          <w:sz w:val="22"/>
          <w:szCs w:val="22"/>
        </w:rPr>
      </w:pPr>
      <w:r w:rsidRPr="008141BE">
        <w:rPr>
          <w:rFonts w:ascii="Times New Roman"/>
          <w:sz w:val="22"/>
          <w:szCs w:val="22"/>
        </w:rPr>
        <w:t>The same values of N_SF and N_RU and I_TBS are used as in Rel-13</w:t>
      </w:r>
    </w:p>
    <w:p w14:paraId="7AF8BBC5" w14:textId="77777777" w:rsidR="008141BE" w:rsidRDefault="008141BE" w:rsidP="008141BE">
      <w:pPr>
        <w:pStyle w:val="LGTdoc0"/>
        <w:spacing w:afterLines="0" w:after="120" w:line="240" w:lineRule="auto"/>
        <w:rPr>
          <w:szCs w:val="22"/>
          <w:lang w:val="en-US"/>
        </w:rPr>
      </w:pPr>
    </w:p>
    <w:p w14:paraId="334873CC" w14:textId="2CB6B7FE" w:rsidR="008141BE" w:rsidRPr="008141BE" w:rsidRDefault="008141BE" w:rsidP="008141BE">
      <w:pPr>
        <w:pStyle w:val="LGTdoc0"/>
        <w:spacing w:afterLines="0" w:after="120" w:line="240" w:lineRule="auto"/>
        <w:rPr>
          <w:szCs w:val="22"/>
          <w:lang w:val="en-US"/>
        </w:rPr>
      </w:pPr>
      <w:r>
        <w:rPr>
          <w:szCs w:val="22"/>
          <w:lang w:val="en-US"/>
        </w:rPr>
        <w:t>In this contribution we present our views on the support of 2 HARQ processes and larger TBS</w:t>
      </w:r>
    </w:p>
    <w:p w14:paraId="21C99EB9" w14:textId="357477FA" w:rsidR="00180683" w:rsidRDefault="008141BE"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Timing relationships for 2 HARQ processes</w:t>
      </w:r>
    </w:p>
    <w:p w14:paraId="568FD3E2" w14:textId="55F351EE" w:rsidR="00295EC5" w:rsidRDefault="008141BE" w:rsidP="00295EC5">
      <w:pPr>
        <w:pStyle w:val="LGTdoc1"/>
        <w:spacing w:beforeLines="0" w:before="120" w:after="220" w:afterAutospacing="0"/>
        <w:rPr>
          <w:b w:val="0"/>
          <w:sz w:val="22"/>
          <w:szCs w:val="22"/>
        </w:rPr>
      </w:pPr>
      <w:r w:rsidRPr="008141BE">
        <w:rPr>
          <w:b w:val="0"/>
          <w:sz w:val="22"/>
          <w:szCs w:val="22"/>
        </w:rPr>
        <w:t>During</w:t>
      </w:r>
      <w:r>
        <w:rPr>
          <w:b w:val="0"/>
          <w:sz w:val="22"/>
          <w:szCs w:val="22"/>
        </w:rPr>
        <w:t xml:space="preserve"> RAN1#86b there were two main proposals for the timing relationship between 2 HARQ processes:</w:t>
      </w:r>
    </w:p>
    <w:p w14:paraId="0516C795" w14:textId="0C4DD157" w:rsidR="008141BE" w:rsidRPr="008141BE" w:rsidRDefault="008141BE" w:rsidP="008141BE">
      <w:pPr>
        <w:pStyle w:val="LGTdoc1"/>
        <w:numPr>
          <w:ilvl w:val="0"/>
          <w:numId w:val="18"/>
        </w:numPr>
        <w:spacing w:beforeLines="0" w:before="120" w:after="220" w:afterAutospacing="0"/>
        <w:rPr>
          <w:b w:val="0"/>
          <w:sz w:val="22"/>
          <w:szCs w:val="22"/>
        </w:rPr>
      </w:pPr>
      <w:r>
        <w:rPr>
          <w:b w:val="0"/>
          <w:sz w:val="22"/>
          <w:szCs w:val="22"/>
        </w:rPr>
        <w:t xml:space="preserve">In </w:t>
      </w:r>
      <w:r>
        <w:rPr>
          <w:b w:val="0"/>
          <w:sz w:val="22"/>
          <w:szCs w:val="22"/>
          <w:lang w:val="en-US"/>
        </w:rPr>
        <w:t>[2], no additional timing constraint is introduced between the 2 HARQ processes.</w:t>
      </w:r>
    </w:p>
    <w:p w14:paraId="4707AB92" w14:textId="515393FF" w:rsidR="008141BE" w:rsidRDefault="008141BE" w:rsidP="008141BE">
      <w:pPr>
        <w:pStyle w:val="LGTdoc1"/>
        <w:numPr>
          <w:ilvl w:val="0"/>
          <w:numId w:val="18"/>
        </w:numPr>
        <w:spacing w:beforeLines="0" w:before="120" w:after="220" w:afterAutospacing="0"/>
        <w:rPr>
          <w:b w:val="0"/>
          <w:sz w:val="22"/>
          <w:szCs w:val="22"/>
        </w:rPr>
      </w:pPr>
      <w:r>
        <w:rPr>
          <w:b w:val="0"/>
          <w:sz w:val="22"/>
          <w:szCs w:val="22"/>
        </w:rPr>
        <w:t>In [3], additional timing constraints are introduced between the 2 HARQ processes.</w:t>
      </w:r>
    </w:p>
    <w:p w14:paraId="2064AD28" w14:textId="693EB6A7" w:rsidR="008141BE" w:rsidRDefault="008141BE" w:rsidP="008141BE">
      <w:pPr>
        <w:pStyle w:val="LGTdoc1"/>
        <w:spacing w:beforeLines="0" w:before="120" w:after="220" w:afterAutospacing="0"/>
        <w:rPr>
          <w:b w:val="0"/>
          <w:sz w:val="22"/>
          <w:szCs w:val="22"/>
        </w:rPr>
      </w:pPr>
      <w:r>
        <w:rPr>
          <w:b w:val="0"/>
          <w:sz w:val="22"/>
          <w:szCs w:val="22"/>
        </w:rPr>
        <w:t xml:space="preserve">In the following, we present a comparison between the </w:t>
      </w:r>
      <w:r w:rsidR="000261AC">
        <w:rPr>
          <w:b w:val="0"/>
          <w:sz w:val="22"/>
          <w:szCs w:val="22"/>
        </w:rPr>
        <w:t>two proposals focusing on different aspects.</w:t>
      </w:r>
    </w:p>
    <w:p w14:paraId="7635D268" w14:textId="77777777" w:rsidR="000261AC" w:rsidRPr="000261AC" w:rsidRDefault="000261AC" w:rsidP="000261AC">
      <w:pPr>
        <w:pStyle w:val="LGTdoc1"/>
        <w:numPr>
          <w:ilvl w:val="0"/>
          <w:numId w:val="21"/>
        </w:numPr>
        <w:spacing w:beforeLines="0" w:before="120" w:after="220" w:afterAutospacing="0"/>
        <w:rPr>
          <w:sz w:val="22"/>
          <w:szCs w:val="22"/>
          <w:u w:val="single"/>
        </w:rPr>
      </w:pPr>
      <w:r w:rsidRPr="000261AC">
        <w:rPr>
          <w:sz w:val="22"/>
          <w:szCs w:val="22"/>
          <w:u w:val="single"/>
        </w:rPr>
        <w:t>Peak data rate:</w:t>
      </w:r>
      <w:r>
        <w:rPr>
          <w:sz w:val="22"/>
          <w:szCs w:val="22"/>
          <w:u w:val="single"/>
        </w:rPr>
        <w:t xml:space="preserve"> </w:t>
      </w:r>
      <w:r>
        <w:rPr>
          <w:b w:val="0"/>
          <w:sz w:val="22"/>
          <w:szCs w:val="22"/>
        </w:rPr>
        <w:t>The achievable peak DL data rate under different assumptions is as follows:</w:t>
      </w:r>
    </w:p>
    <w:p w14:paraId="2CEBB2FF" w14:textId="293546C7" w:rsidR="000261AC" w:rsidRPr="000261AC" w:rsidRDefault="000261AC" w:rsidP="000261AC">
      <w:pPr>
        <w:pStyle w:val="LGTdoc1"/>
        <w:numPr>
          <w:ilvl w:val="1"/>
          <w:numId w:val="21"/>
        </w:numPr>
        <w:spacing w:beforeLines="0" w:before="120" w:after="220" w:afterAutospacing="0"/>
        <w:rPr>
          <w:sz w:val="22"/>
          <w:szCs w:val="22"/>
          <w:u w:val="single"/>
        </w:rPr>
      </w:pPr>
      <w:r w:rsidRPr="000261AC">
        <w:rPr>
          <w:sz w:val="22"/>
          <w:szCs w:val="22"/>
        </w:rPr>
        <w:t>48.286kbps</w:t>
      </w:r>
      <w:r>
        <w:rPr>
          <w:sz w:val="22"/>
          <w:szCs w:val="22"/>
        </w:rPr>
        <w:t xml:space="preserve"> </w:t>
      </w:r>
      <w:r>
        <w:rPr>
          <w:b w:val="0"/>
          <w:sz w:val="22"/>
          <w:szCs w:val="22"/>
        </w:rPr>
        <w:t>for a UE with single HARQ process and 1352 bits TBS</w:t>
      </w:r>
    </w:p>
    <w:p w14:paraId="3BEB8EBE" w14:textId="5AD37A39" w:rsidR="000261AC" w:rsidRPr="000261AC" w:rsidRDefault="00E52071" w:rsidP="000261AC">
      <w:pPr>
        <w:pStyle w:val="LGTdoc1"/>
        <w:numPr>
          <w:ilvl w:val="1"/>
          <w:numId w:val="21"/>
        </w:numPr>
        <w:spacing w:beforeLines="0" w:before="120" w:after="220" w:afterAutospacing="0"/>
        <w:rPr>
          <w:sz w:val="22"/>
          <w:szCs w:val="22"/>
          <w:u w:val="single"/>
        </w:rPr>
      </w:pPr>
      <w:r>
        <w:rPr>
          <w:sz w:val="22"/>
          <w:szCs w:val="22"/>
        </w:rPr>
        <w:t xml:space="preserve">56.33kbps </w:t>
      </w:r>
      <w:r w:rsidR="000261AC">
        <w:rPr>
          <w:b w:val="0"/>
          <w:sz w:val="22"/>
          <w:szCs w:val="22"/>
        </w:rPr>
        <w:t xml:space="preserve">for a UE with two HARQ processes, timeline constrained as in [3] with 2 HARQ processes. This is an increase of </w:t>
      </w:r>
      <w:r>
        <w:rPr>
          <w:sz w:val="22"/>
          <w:szCs w:val="22"/>
        </w:rPr>
        <w:t>16</w:t>
      </w:r>
      <w:r w:rsidR="000261AC" w:rsidRPr="000261AC">
        <w:rPr>
          <w:sz w:val="22"/>
          <w:szCs w:val="22"/>
        </w:rPr>
        <w:t>%</w:t>
      </w:r>
      <w:r w:rsidR="000261AC">
        <w:rPr>
          <w:b w:val="0"/>
          <w:sz w:val="22"/>
          <w:szCs w:val="22"/>
        </w:rPr>
        <w:t xml:space="preserve"> with respect to the single HARQ baseline</w:t>
      </w:r>
    </w:p>
    <w:p w14:paraId="2DC6657C" w14:textId="3D4D6B74" w:rsidR="000261AC" w:rsidRPr="000261AC" w:rsidRDefault="000261AC" w:rsidP="00846781">
      <w:pPr>
        <w:pStyle w:val="LGTdoc1"/>
        <w:numPr>
          <w:ilvl w:val="1"/>
          <w:numId w:val="21"/>
        </w:numPr>
        <w:spacing w:beforeLines="0" w:before="120" w:after="220" w:afterAutospacing="0"/>
        <w:rPr>
          <w:sz w:val="22"/>
          <w:szCs w:val="22"/>
          <w:u w:val="single"/>
        </w:rPr>
      </w:pPr>
      <w:r>
        <w:rPr>
          <w:sz w:val="22"/>
          <w:szCs w:val="22"/>
        </w:rPr>
        <w:t>8</w:t>
      </w:r>
      <w:r w:rsidR="00DF2F70">
        <w:rPr>
          <w:sz w:val="22"/>
          <w:szCs w:val="22"/>
        </w:rPr>
        <w:t>4</w:t>
      </w:r>
      <w:r>
        <w:rPr>
          <w:sz w:val="22"/>
          <w:szCs w:val="22"/>
        </w:rPr>
        <w:t xml:space="preserve">.5kbps </w:t>
      </w:r>
      <w:r>
        <w:rPr>
          <w:b w:val="0"/>
          <w:sz w:val="22"/>
          <w:szCs w:val="22"/>
        </w:rPr>
        <w:t xml:space="preserve">for a UE with two HARQ processes and no timeline constraint as in [2]. This is an increase of </w:t>
      </w:r>
      <w:r w:rsidRPr="000261AC">
        <w:rPr>
          <w:sz w:val="22"/>
          <w:szCs w:val="22"/>
        </w:rPr>
        <w:t>7</w:t>
      </w:r>
      <w:r w:rsidR="00DF2F70">
        <w:rPr>
          <w:sz w:val="22"/>
          <w:szCs w:val="22"/>
        </w:rPr>
        <w:t>5</w:t>
      </w:r>
      <w:r w:rsidRPr="000261AC">
        <w:rPr>
          <w:sz w:val="22"/>
          <w:szCs w:val="22"/>
        </w:rPr>
        <w:t>%</w:t>
      </w:r>
      <w:r>
        <w:rPr>
          <w:b w:val="0"/>
          <w:sz w:val="22"/>
          <w:szCs w:val="22"/>
        </w:rPr>
        <w:t xml:space="preserve"> with respect to the single HARQ case, and of </w:t>
      </w:r>
      <w:r w:rsidR="00E52071">
        <w:rPr>
          <w:sz w:val="22"/>
          <w:szCs w:val="22"/>
        </w:rPr>
        <w:t>50</w:t>
      </w:r>
      <w:r>
        <w:rPr>
          <w:sz w:val="22"/>
          <w:szCs w:val="22"/>
        </w:rPr>
        <w:t>%</w:t>
      </w:r>
      <w:r>
        <w:rPr>
          <w:b w:val="0"/>
          <w:sz w:val="22"/>
          <w:szCs w:val="22"/>
        </w:rPr>
        <w:t xml:space="preserve"> with respect to [3].</w:t>
      </w:r>
      <w:r w:rsidR="00846781">
        <w:rPr>
          <w:b w:val="0"/>
          <w:sz w:val="22"/>
          <w:szCs w:val="22"/>
        </w:rPr>
        <w:br/>
      </w:r>
      <w:r w:rsidR="00846781">
        <w:rPr>
          <w:sz w:val="22"/>
          <w:szCs w:val="22"/>
          <w:u w:val="single"/>
        </w:rPr>
        <w:br/>
      </w:r>
    </w:p>
    <w:p w14:paraId="720ECA83" w14:textId="5808CF05" w:rsidR="000261AC" w:rsidRDefault="000261AC" w:rsidP="000261AC">
      <w:pPr>
        <w:pStyle w:val="LGTdoc1"/>
        <w:spacing w:beforeLines="0" w:before="120" w:after="220" w:afterAutospacing="0"/>
        <w:rPr>
          <w:sz w:val="22"/>
          <w:szCs w:val="22"/>
        </w:rPr>
      </w:pPr>
      <w:r>
        <w:rPr>
          <w:sz w:val="22"/>
          <w:szCs w:val="22"/>
          <w:u w:val="single"/>
        </w:rPr>
        <w:t xml:space="preserve">Observation 1: </w:t>
      </w:r>
      <w:r>
        <w:rPr>
          <w:sz w:val="22"/>
          <w:szCs w:val="22"/>
        </w:rPr>
        <w:t xml:space="preserve">The </w:t>
      </w:r>
      <w:r w:rsidR="00047421">
        <w:rPr>
          <w:sz w:val="22"/>
          <w:szCs w:val="22"/>
        </w:rPr>
        <w:t xml:space="preserve">DL </w:t>
      </w:r>
      <w:r>
        <w:rPr>
          <w:sz w:val="22"/>
          <w:szCs w:val="22"/>
        </w:rPr>
        <w:t>peak data rates achieved by the different mechanisms are:</w:t>
      </w:r>
    </w:p>
    <w:tbl>
      <w:tblPr>
        <w:tblStyle w:val="TableGrid"/>
        <w:tblW w:w="0" w:type="auto"/>
        <w:tblLook w:val="04A0" w:firstRow="1" w:lastRow="0" w:firstColumn="1" w:lastColumn="0" w:noHBand="0" w:noVBand="1"/>
      </w:tblPr>
      <w:tblGrid>
        <w:gridCol w:w="3120"/>
        <w:gridCol w:w="3121"/>
        <w:gridCol w:w="3121"/>
      </w:tblGrid>
      <w:tr w:rsidR="000261AC" w14:paraId="3D49DA0D" w14:textId="77777777" w:rsidTr="000261AC">
        <w:tc>
          <w:tcPr>
            <w:tcW w:w="3120" w:type="dxa"/>
          </w:tcPr>
          <w:p w14:paraId="37A31177" w14:textId="56346F85" w:rsidR="000261AC" w:rsidRDefault="000261AC" w:rsidP="000261AC">
            <w:pPr>
              <w:pStyle w:val="LGTdoc1"/>
              <w:spacing w:beforeLines="0" w:before="120" w:after="220" w:afterAutospacing="0"/>
              <w:rPr>
                <w:sz w:val="22"/>
                <w:szCs w:val="22"/>
              </w:rPr>
            </w:pPr>
            <w:r>
              <w:rPr>
                <w:sz w:val="22"/>
                <w:szCs w:val="22"/>
              </w:rPr>
              <w:t>Single HARQ</w:t>
            </w:r>
          </w:p>
        </w:tc>
        <w:tc>
          <w:tcPr>
            <w:tcW w:w="3121" w:type="dxa"/>
          </w:tcPr>
          <w:p w14:paraId="05E1D481" w14:textId="5433C5D0" w:rsidR="000261AC" w:rsidRDefault="000261AC" w:rsidP="000261AC">
            <w:pPr>
              <w:pStyle w:val="LGTdoc1"/>
              <w:spacing w:beforeLines="0" w:before="120" w:after="220" w:afterAutospacing="0"/>
              <w:rPr>
                <w:sz w:val="22"/>
                <w:szCs w:val="22"/>
              </w:rPr>
            </w:pPr>
            <w:r>
              <w:rPr>
                <w:sz w:val="22"/>
                <w:szCs w:val="22"/>
              </w:rPr>
              <w:t>Two HARQ [3]</w:t>
            </w:r>
          </w:p>
        </w:tc>
        <w:tc>
          <w:tcPr>
            <w:tcW w:w="3121" w:type="dxa"/>
          </w:tcPr>
          <w:p w14:paraId="43A21D46" w14:textId="423A5DF8" w:rsidR="000261AC" w:rsidRDefault="000261AC" w:rsidP="000261AC">
            <w:pPr>
              <w:pStyle w:val="LGTdoc1"/>
              <w:spacing w:beforeLines="0" w:before="120" w:after="220" w:afterAutospacing="0"/>
              <w:rPr>
                <w:sz w:val="22"/>
                <w:szCs w:val="22"/>
              </w:rPr>
            </w:pPr>
            <w:r>
              <w:rPr>
                <w:sz w:val="22"/>
                <w:szCs w:val="22"/>
              </w:rPr>
              <w:t>Two HARQ[2]</w:t>
            </w:r>
          </w:p>
        </w:tc>
      </w:tr>
      <w:tr w:rsidR="000261AC" w14:paraId="5FDA567A" w14:textId="77777777" w:rsidTr="000261AC">
        <w:tc>
          <w:tcPr>
            <w:tcW w:w="3120" w:type="dxa"/>
          </w:tcPr>
          <w:p w14:paraId="553EF379" w14:textId="55FC9BEA" w:rsidR="000261AC" w:rsidRDefault="000261AC" w:rsidP="000261AC">
            <w:pPr>
              <w:pStyle w:val="LGTdoc1"/>
              <w:spacing w:beforeLines="0" w:before="120" w:after="220" w:afterAutospacing="0"/>
              <w:rPr>
                <w:sz w:val="22"/>
                <w:szCs w:val="22"/>
              </w:rPr>
            </w:pPr>
            <w:r>
              <w:rPr>
                <w:sz w:val="22"/>
                <w:szCs w:val="22"/>
              </w:rPr>
              <w:t>48.268 kbps</w:t>
            </w:r>
          </w:p>
        </w:tc>
        <w:tc>
          <w:tcPr>
            <w:tcW w:w="3121" w:type="dxa"/>
          </w:tcPr>
          <w:p w14:paraId="6B0F3F1F" w14:textId="0991FAB1" w:rsidR="000261AC" w:rsidRDefault="00E52071" w:rsidP="00E52071">
            <w:pPr>
              <w:pStyle w:val="LGTdoc1"/>
              <w:spacing w:beforeLines="0" w:before="120" w:after="220" w:afterAutospacing="0"/>
              <w:rPr>
                <w:sz w:val="22"/>
                <w:szCs w:val="22"/>
              </w:rPr>
            </w:pPr>
            <w:r>
              <w:rPr>
                <w:sz w:val="22"/>
                <w:szCs w:val="22"/>
              </w:rPr>
              <w:t>56.33</w:t>
            </w:r>
            <w:r w:rsidR="000261AC">
              <w:rPr>
                <w:sz w:val="22"/>
                <w:szCs w:val="22"/>
              </w:rPr>
              <w:t xml:space="preserve"> kbps (</w:t>
            </w:r>
            <w:r>
              <w:rPr>
                <w:sz w:val="22"/>
                <w:szCs w:val="22"/>
              </w:rPr>
              <w:t>16</w:t>
            </w:r>
            <w:r w:rsidR="000261AC">
              <w:rPr>
                <w:sz w:val="22"/>
                <w:szCs w:val="22"/>
              </w:rPr>
              <w:t>% increase)</w:t>
            </w:r>
          </w:p>
        </w:tc>
        <w:tc>
          <w:tcPr>
            <w:tcW w:w="3121" w:type="dxa"/>
          </w:tcPr>
          <w:p w14:paraId="42F5841E" w14:textId="7033EE96" w:rsidR="000261AC" w:rsidRDefault="000261AC" w:rsidP="00DF2F70">
            <w:pPr>
              <w:pStyle w:val="LGTdoc1"/>
              <w:spacing w:beforeLines="0" w:before="120" w:after="220" w:afterAutospacing="0"/>
              <w:rPr>
                <w:sz w:val="22"/>
                <w:szCs w:val="22"/>
              </w:rPr>
            </w:pPr>
            <w:r>
              <w:rPr>
                <w:sz w:val="22"/>
                <w:szCs w:val="22"/>
              </w:rPr>
              <w:t>8</w:t>
            </w:r>
            <w:r w:rsidR="00DF2F70">
              <w:rPr>
                <w:sz w:val="22"/>
                <w:szCs w:val="22"/>
              </w:rPr>
              <w:t>4</w:t>
            </w:r>
            <w:r>
              <w:rPr>
                <w:sz w:val="22"/>
                <w:szCs w:val="22"/>
              </w:rPr>
              <w:t>.5kbps (7</w:t>
            </w:r>
            <w:r w:rsidR="00DF2F70">
              <w:rPr>
                <w:sz w:val="22"/>
                <w:szCs w:val="22"/>
              </w:rPr>
              <w:t>5</w:t>
            </w:r>
            <w:r>
              <w:rPr>
                <w:sz w:val="22"/>
                <w:szCs w:val="22"/>
              </w:rPr>
              <w:t>% increase)</w:t>
            </w:r>
          </w:p>
        </w:tc>
      </w:tr>
    </w:tbl>
    <w:p w14:paraId="6C84D419" w14:textId="36654851" w:rsidR="000261AC" w:rsidRPr="00846781" w:rsidRDefault="00846781" w:rsidP="000261AC">
      <w:pPr>
        <w:pStyle w:val="LGTdoc1"/>
        <w:spacing w:beforeLines="0" w:before="120" w:after="220" w:afterAutospacing="0"/>
        <w:rPr>
          <w:b w:val="0"/>
          <w:sz w:val="22"/>
          <w:szCs w:val="22"/>
        </w:rPr>
      </w:pPr>
      <w:r>
        <w:rPr>
          <w:b w:val="0"/>
          <w:sz w:val="22"/>
          <w:szCs w:val="22"/>
        </w:rPr>
        <w:t>Note that increasing the downlink peak data rate would enable greater power savings with respect to the single HARQ or constrained timing operation, and may enable the use of NB-</w:t>
      </w:r>
      <w:proofErr w:type="spellStart"/>
      <w:r>
        <w:rPr>
          <w:b w:val="0"/>
          <w:sz w:val="22"/>
          <w:szCs w:val="22"/>
        </w:rPr>
        <w:t>IoT</w:t>
      </w:r>
      <w:proofErr w:type="spellEnd"/>
      <w:r>
        <w:rPr>
          <w:b w:val="0"/>
          <w:sz w:val="22"/>
          <w:szCs w:val="22"/>
        </w:rPr>
        <w:t xml:space="preserve"> in applications that require higher data rates.</w:t>
      </w:r>
    </w:p>
    <w:p w14:paraId="7FEE9EDE" w14:textId="77777777" w:rsidR="008141BE" w:rsidRDefault="008141BE" w:rsidP="008141BE">
      <w:pPr>
        <w:pStyle w:val="LGTdoc1"/>
        <w:spacing w:beforeLines="0" w:before="120" w:after="220" w:afterAutospacing="0"/>
        <w:rPr>
          <w:b w:val="0"/>
          <w:sz w:val="22"/>
          <w:szCs w:val="22"/>
        </w:rPr>
      </w:pPr>
    </w:p>
    <w:p w14:paraId="6F147AA0" w14:textId="719AD904" w:rsidR="008141BE" w:rsidRDefault="00846781" w:rsidP="00846781">
      <w:pPr>
        <w:pStyle w:val="LGTdoc1"/>
        <w:numPr>
          <w:ilvl w:val="0"/>
          <w:numId w:val="21"/>
        </w:numPr>
        <w:spacing w:beforeLines="0" w:before="120" w:after="220" w:afterAutospacing="0"/>
        <w:rPr>
          <w:b w:val="0"/>
          <w:sz w:val="22"/>
          <w:szCs w:val="22"/>
        </w:rPr>
      </w:pPr>
      <w:r>
        <w:rPr>
          <w:sz w:val="22"/>
          <w:szCs w:val="22"/>
          <w:u w:val="single"/>
        </w:rPr>
        <w:lastRenderedPageBreak/>
        <w:t xml:space="preserve">UE complexity: </w:t>
      </w:r>
      <w:r>
        <w:rPr>
          <w:b w:val="0"/>
          <w:sz w:val="22"/>
          <w:szCs w:val="22"/>
        </w:rPr>
        <w:t>The main reason argued by the proponents of [3] is that the additional time is required by the UE to process the NPDSCH due to complexity constraints. This observation is heavily dependent on the implementation assumption at the UE (e.g. a 100% DSP-based implementation of NB-</w:t>
      </w:r>
      <w:proofErr w:type="spellStart"/>
      <w:r>
        <w:rPr>
          <w:b w:val="0"/>
          <w:sz w:val="22"/>
          <w:szCs w:val="22"/>
        </w:rPr>
        <w:t>IoT</w:t>
      </w:r>
      <w:proofErr w:type="spellEnd"/>
      <w:r>
        <w:rPr>
          <w:b w:val="0"/>
          <w:sz w:val="22"/>
          <w:szCs w:val="22"/>
        </w:rPr>
        <w:t xml:space="preserve"> UE</w:t>
      </w:r>
      <w:r w:rsidR="000469EF">
        <w:rPr>
          <w:b w:val="0"/>
          <w:sz w:val="22"/>
          <w:szCs w:val="22"/>
        </w:rPr>
        <w:t xml:space="preserve"> with a given limit in the MIPS</w:t>
      </w:r>
      <w:r>
        <w:rPr>
          <w:b w:val="0"/>
          <w:sz w:val="22"/>
          <w:szCs w:val="22"/>
        </w:rPr>
        <w:t xml:space="preserve">). In our view, this assumption in the implementation is not acceptable for the introduction of features that require higher data rates, and the </w:t>
      </w:r>
      <w:r w:rsidR="000469EF">
        <w:rPr>
          <w:b w:val="0"/>
          <w:sz w:val="22"/>
          <w:szCs w:val="22"/>
        </w:rPr>
        <w:t>future of this</w:t>
      </w:r>
      <w:r>
        <w:rPr>
          <w:b w:val="0"/>
          <w:sz w:val="22"/>
          <w:szCs w:val="22"/>
        </w:rPr>
        <w:t xml:space="preserve"> technology should not be </w:t>
      </w:r>
      <w:r w:rsidR="000469EF">
        <w:rPr>
          <w:b w:val="0"/>
          <w:sz w:val="22"/>
          <w:szCs w:val="22"/>
        </w:rPr>
        <w:t>compromised</w:t>
      </w:r>
      <w:r>
        <w:rPr>
          <w:b w:val="0"/>
          <w:sz w:val="22"/>
          <w:szCs w:val="22"/>
        </w:rPr>
        <w:t xml:space="preserve"> because of this particular </w:t>
      </w:r>
      <w:r w:rsidR="000469EF">
        <w:rPr>
          <w:b w:val="0"/>
          <w:sz w:val="22"/>
          <w:szCs w:val="22"/>
        </w:rPr>
        <w:t>implementation option</w:t>
      </w:r>
      <w:r>
        <w:rPr>
          <w:b w:val="0"/>
          <w:sz w:val="22"/>
          <w:szCs w:val="22"/>
        </w:rPr>
        <w:t xml:space="preserve">. Additionally, this Rel-14 feature </w:t>
      </w:r>
      <w:r w:rsidR="0004604A">
        <w:rPr>
          <w:b w:val="0"/>
          <w:sz w:val="22"/>
          <w:szCs w:val="22"/>
        </w:rPr>
        <w:t>should be</w:t>
      </w:r>
      <w:r>
        <w:rPr>
          <w:b w:val="0"/>
          <w:sz w:val="22"/>
          <w:szCs w:val="22"/>
        </w:rPr>
        <w:t xml:space="preserve"> </w:t>
      </w:r>
      <w:r w:rsidRPr="00F20426">
        <w:rPr>
          <w:b w:val="0"/>
          <w:sz w:val="22"/>
          <w:szCs w:val="22"/>
        </w:rPr>
        <w:t>optional</w:t>
      </w:r>
      <w:r>
        <w:rPr>
          <w:b w:val="0"/>
          <w:sz w:val="22"/>
          <w:szCs w:val="22"/>
        </w:rPr>
        <w:t>, so if a particular UE is not able to support this feature it should just indicate so and operate at a lower data rate. Additionally, a 100% DSP-based implementation may not be the optimal in terms of cost and battery life if a massive number of devices are deployed.</w:t>
      </w:r>
    </w:p>
    <w:p w14:paraId="58430DC3" w14:textId="5D30A874" w:rsidR="00846781" w:rsidRDefault="00846781" w:rsidP="00846781">
      <w:pPr>
        <w:pStyle w:val="LGTdoc1"/>
        <w:spacing w:beforeLines="0" w:before="120" w:after="220" w:afterAutospacing="0"/>
        <w:rPr>
          <w:sz w:val="22"/>
          <w:szCs w:val="22"/>
        </w:rPr>
      </w:pPr>
      <w:r w:rsidRPr="00846781">
        <w:rPr>
          <w:sz w:val="22"/>
          <w:szCs w:val="22"/>
          <w:u w:val="single"/>
        </w:rPr>
        <w:t>Observation 2:</w:t>
      </w:r>
      <w:r>
        <w:rPr>
          <w:b w:val="0"/>
          <w:sz w:val="22"/>
          <w:szCs w:val="22"/>
          <w:u w:val="single"/>
        </w:rPr>
        <w:t xml:space="preserve"> </w:t>
      </w:r>
      <w:r>
        <w:rPr>
          <w:sz w:val="22"/>
          <w:szCs w:val="22"/>
        </w:rPr>
        <w:t>The increase in UE complexity largely depends on the selected UE implementation. For some implementations additional timing constraints are not needed.</w:t>
      </w:r>
    </w:p>
    <w:p w14:paraId="496906A4" w14:textId="22EE549A" w:rsidR="00846781" w:rsidRDefault="00846781" w:rsidP="00846781">
      <w:pPr>
        <w:pStyle w:val="LGTdoc1"/>
        <w:spacing w:beforeLines="0" w:before="120" w:after="220" w:afterAutospacing="0"/>
        <w:rPr>
          <w:sz w:val="22"/>
          <w:szCs w:val="22"/>
        </w:rPr>
      </w:pPr>
      <w:r w:rsidRPr="00846781">
        <w:rPr>
          <w:sz w:val="22"/>
          <w:szCs w:val="22"/>
          <w:u w:val="single"/>
        </w:rPr>
        <w:t>Observation 3:</w:t>
      </w:r>
      <w:r>
        <w:rPr>
          <w:sz w:val="22"/>
          <w:szCs w:val="22"/>
        </w:rPr>
        <w:t xml:space="preserve"> The support of 2 HARQ processes </w:t>
      </w:r>
      <w:r w:rsidR="00047421">
        <w:rPr>
          <w:sz w:val="22"/>
          <w:szCs w:val="22"/>
        </w:rPr>
        <w:t>can</w:t>
      </w:r>
      <w:r>
        <w:rPr>
          <w:sz w:val="22"/>
          <w:szCs w:val="22"/>
        </w:rPr>
        <w:t xml:space="preserve"> be an optional feature at the UE side. If a particular UE does not support this feature, it should indicate so to the network and operate with lower data rates.</w:t>
      </w:r>
    </w:p>
    <w:p w14:paraId="68F91D79" w14:textId="77777777" w:rsidR="00846781" w:rsidRDefault="00846781" w:rsidP="00846781">
      <w:pPr>
        <w:pStyle w:val="LGTdoc1"/>
        <w:spacing w:beforeLines="0" w:before="120" w:after="220" w:afterAutospacing="0"/>
        <w:rPr>
          <w:sz w:val="22"/>
          <w:szCs w:val="22"/>
        </w:rPr>
      </w:pPr>
    </w:p>
    <w:p w14:paraId="61173E19" w14:textId="10CD3303" w:rsidR="00846781" w:rsidRDefault="00846781" w:rsidP="00846781">
      <w:pPr>
        <w:pStyle w:val="LGTdoc1"/>
        <w:spacing w:beforeLines="0" w:before="120" w:after="220" w:afterAutospacing="0"/>
        <w:rPr>
          <w:b w:val="0"/>
          <w:sz w:val="22"/>
          <w:szCs w:val="22"/>
        </w:rPr>
      </w:pPr>
      <w:r w:rsidRPr="00846781">
        <w:rPr>
          <w:b w:val="0"/>
          <w:sz w:val="22"/>
          <w:szCs w:val="22"/>
        </w:rPr>
        <w:t>In view of these observations</w:t>
      </w:r>
      <w:r>
        <w:rPr>
          <w:b w:val="0"/>
          <w:sz w:val="22"/>
          <w:szCs w:val="22"/>
        </w:rPr>
        <w:t xml:space="preserve">, the </w:t>
      </w:r>
      <w:r w:rsidR="000469EF">
        <w:rPr>
          <w:b w:val="0"/>
          <w:sz w:val="22"/>
          <w:szCs w:val="22"/>
        </w:rPr>
        <w:t>main</w:t>
      </w:r>
      <w:r>
        <w:rPr>
          <w:b w:val="0"/>
          <w:sz w:val="22"/>
          <w:szCs w:val="22"/>
        </w:rPr>
        <w:t xml:space="preserve"> reason towards supporting [3] is </w:t>
      </w:r>
      <w:r w:rsidR="000469EF">
        <w:rPr>
          <w:b w:val="0"/>
          <w:sz w:val="22"/>
          <w:szCs w:val="22"/>
        </w:rPr>
        <w:t>related to purely implementation issues</w:t>
      </w:r>
      <w:r>
        <w:rPr>
          <w:b w:val="0"/>
          <w:sz w:val="22"/>
          <w:szCs w:val="22"/>
        </w:rPr>
        <w:t>. In our view, 3GPP should strive towards having the best technology offering, and should not standardize a particular technology based on implementation constraints of a subset of the companies. From the data rates offering, it is c</w:t>
      </w:r>
      <w:bookmarkStart w:id="2" w:name="_GoBack"/>
      <w:bookmarkEnd w:id="2"/>
      <w:r>
        <w:rPr>
          <w:b w:val="0"/>
          <w:sz w:val="22"/>
          <w:szCs w:val="22"/>
        </w:rPr>
        <w:t>lear that:</w:t>
      </w:r>
    </w:p>
    <w:p w14:paraId="37ECAAC9" w14:textId="58C61386" w:rsidR="00846781" w:rsidRDefault="00846781" w:rsidP="00846781">
      <w:pPr>
        <w:pStyle w:val="LGTdoc1"/>
        <w:numPr>
          <w:ilvl w:val="0"/>
          <w:numId w:val="21"/>
        </w:numPr>
        <w:spacing w:beforeLines="0" w:before="120" w:after="220" w:afterAutospacing="0"/>
        <w:rPr>
          <w:b w:val="0"/>
          <w:sz w:val="22"/>
          <w:szCs w:val="22"/>
        </w:rPr>
      </w:pPr>
      <w:r>
        <w:rPr>
          <w:b w:val="0"/>
          <w:sz w:val="22"/>
          <w:szCs w:val="22"/>
        </w:rPr>
        <w:t>The introduction of new timing constraints will reduce the applicability of NB-</w:t>
      </w:r>
      <w:proofErr w:type="spellStart"/>
      <w:r>
        <w:rPr>
          <w:b w:val="0"/>
          <w:sz w:val="22"/>
          <w:szCs w:val="22"/>
        </w:rPr>
        <w:t>IoT</w:t>
      </w:r>
      <w:proofErr w:type="spellEnd"/>
      <w:r>
        <w:rPr>
          <w:b w:val="0"/>
          <w:sz w:val="22"/>
          <w:szCs w:val="22"/>
        </w:rPr>
        <w:t xml:space="preserve"> technology</w:t>
      </w:r>
    </w:p>
    <w:p w14:paraId="41E7EAF3" w14:textId="2F061E4B" w:rsidR="00846781" w:rsidRDefault="00846781" w:rsidP="00846781">
      <w:pPr>
        <w:pStyle w:val="LGTdoc1"/>
        <w:numPr>
          <w:ilvl w:val="1"/>
          <w:numId w:val="21"/>
        </w:numPr>
        <w:spacing w:beforeLines="0" w:before="120" w:after="220" w:afterAutospacing="0"/>
        <w:rPr>
          <w:b w:val="0"/>
          <w:sz w:val="22"/>
          <w:szCs w:val="22"/>
        </w:rPr>
      </w:pPr>
      <w:r>
        <w:rPr>
          <w:b w:val="0"/>
          <w:sz w:val="22"/>
          <w:szCs w:val="22"/>
        </w:rPr>
        <w:t xml:space="preserve">The throughput increase from [3] of </w:t>
      </w:r>
      <w:r w:rsidR="00E52071">
        <w:rPr>
          <w:b w:val="0"/>
          <w:sz w:val="22"/>
          <w:szCs w:val="22"/>
        </w:rPr>
        <w:t>16</w:t>
      </w:r>
      <w:r>
        <w:rPr>
          <w:b w:val="0"/>
          <w:sz w:val="22"/>
          <w:szCs w:val="22"/>
        </w:rPr>
        <w:t>%</w:t>
      </w:r>
      <w:r w:rsidR="0004604A">
        <w:rPr>
          <w:b w:val="0"/>
          <w:sz w:val="22"/>
          <w:szCs w:val="22"/>
        </w:rPr>
        <w:t xml:space="preserve"> (+</w:t>
      </w:r>
      <w:r w:rsidR="00E52071">
        <w:rPr>
          <w:b w:val="0"/>
          <w:sz w:val="22"/>
          <w:szCs w:val="22"/>
        </w:rPr>
        <w:t>8</w:t>
      </w:r>
      <w:r w:rsidR="0004604A">
        <w:rPr>
          <w:b w:val="0"/>
          <w:sz w:val="22"/>
          <w:szCs w:val="22"/>
        </w:rPr>
        <w:t>kbps)</w:t>
      </w:r>
      <w:r>
        <w:rPr>
          <w:b w:val="0"/>
          <w:sz w:val="22"/>
          <w:szCs w:val="22"/>
        </w:rPr>
        <w:t>, which will probably not enable new use cases for NB-</w:t>
      </w:r>
      <w:proofErr w:type="spellStart"/>
      <w:r>
        <w:rPr>
          <w:b w:val="0"/>
          <w:sz w:val="22"/>
          <w:szCs w:val="22"/>
        </w:rPr>
        <w:t>IoT</w:t>
      </w:r>
      <w:proofErr w:type="spellEnd"/>
      <w:r>
        <w:rPr>
          <w:b w:val="0"/>
          <w:sz w:val="22"/>
          <w:szCs w:val="22"/>
        </w:rPr>
        <w:t>. Thus, adopting this solution does not give a big advantage with respect to the single HARQ case.</w:t>
      </w:r>
      <w:r w:rsidR="008F5606">
        <w:rPr>
          <w:b w:val="0"/>
          <w:sz w:val="22"/>
          <w:szCs w:val="22"/>
        </w:rPr>
        <w:t xml:space="preserve"> An even larger gain could be obtained if the max DL TBS was increased to 1800 (64.28kbps).</w:t>
      </w:r>
    </w:p>
    <w:p w14:paraId="792D3BFF" w14:textId="18B875EB" w:rsidR="00846781" w:rsidRPr="00846781" w:rsidRDefault="00846781" w:rsidP="00846781">
      <w:pPr>
        <w:pStyle w:val="LGTdoc1"/>
        <w:numPr>
          <w:ilvl w:val="1"/>
          <w:numId w:val="21"/>
        </w:numPr>
        <w:spacing w:beforeLines="0" w:before="120" w:after="220" w:afterAutospacing="0"/>
        <w:rPr>
          <w:b w:val="0"/>
          <w:sz w:val="22"/>
          <w:szCs w:val="22"/>
        </w:rPr>
      </w:pPr>
      <w:r>
        <w:rPr>
          <w:b w:val="0"/>
          <w:sz w:val="22"/>
          <w:szCs w:val="22"/>
        </w:rPr>
        <w:t>The throughput increase from [2] is of 7</w:t>
      </w:r>
      <w:r w:rsidR="00F20426">
        <w:rPr>
          <w:b w:val="0"/>
          <w:sz w:val="22"/>
          <w:szCs w:val="22"/>
        </w:rPr>
        <w:t>5</w:t>
      </w:r>
      <w:r>
        <w:rPr>
          <w:b w:val="0"/>
          <w:sz w:val="22"/>
          <w:szCs w:val="22"/>
        </w:rPr>
        <w:t>%</w:t>
      </w:r>
      <w:r w:rsidR="0004604A">
        <w:rPr>
          <w:b w:val="0"/>
          <w:sz w:val="22"/>
          <w:szCs w:val="22"/>
        </w:rPr>
        <w:t xml:space="preserve"> (+3</w:t>
      </w:r>
      <w:r w:rsidR="000469EF">
        <w:rPr>
          <w:b w:val="0"/>
          <w:sz w:val="22"/>
          <w:szCs w:val="22"/>
        </w:rPr>
        <w:t>6</w:t>
      </w:r>
      <w:r w:rsidR="0004604A">
        <w:rPr>
          <w:b w:val="0"/>
          <w:sz w:val="22"/>
          <w:szCs w:val="22"/>
        </w:rPr>
        <w:t>kbps)</w:t>
      </w:r>
      <w:r>
        <w:rPr>
          <w:b w:val="0"/>
          <w:sz w:val="22"/>
          <w:szCs w:val="22"/>
        </w:rPr>
        <w:t>, which may enable new use cases for NB-</w:t>
      </w:r>
      <w:proofErr w:type="spellStart"/>
      <w:r>
        <w:rPr>
          <w:b w:val="0"/>
          <w:sz w:val="22"/>
          <w:szCs w:val="22"/>
        </w:rPr>
        <w:t>IoT</w:t>
      </w:r>
      <w:proofErr w:type="spellEnd"/>
      <w:r>
        <w:rPr>
          <w:b w:val="0"/>
          <w:sz w:val="22"/>
          <w:szCs w:val="22"/>
        </w:rPr>
        <w:t>.</w:t>
      </w:r>
    </w:p>
    <w:p w14:paraId="2AAAFB8C" w14:textId="38409F54" w:rsidR="00C67F43" w:rsidRDefault="00846781" w:rsidP="00846781">
      <w:pPr>
        <w:pStyle w:val="LGTdoc1"/>
        <w:spacing w:beforeLines="0" w:before="120" w:after="220" w:afterAutospacing="0"/>
        <w:rPr>
          <w:sz w:val="22"/>
          <w:szCs w:val="22"/>
        </w:rPr>
      </w:pPr>
      <w:r>
        <w:rPr>
          <w:sz w:val="22"/>
          <w:szCs w:val="22"/>
          <w:u w:val="single"/>
        </w:rPr>
        <w:t xml:space="preserve">Proposal: </w:t>
      </w:r>
      <w:r>
        <w:rPr>
          <w:sz w:val="22"/>
          <w:szCs w:val="22"/>
        </w:rPr>
        <w:t>Do not introduce any additional timing constraints for operation with 2 HARQ processes.</w:t>
      </w:r>
    </w:p>
    <w:p w14:paraId="1AD353C0" w14:textId="77777777" w:rsidR="00846781" w:rsidRPr="00846781" w:rsidRDefault="00846781" w:rsidP="00846781">
      <w:pPr>
        <w:pStyle w:val="LGTdoc1"/>
        <w:spacing w:beforeLines="0" w:before="120" w:after="220" w:afterAutospacing="0"/>
        <w:rPr>
          <w:rFonts w:ascii="Arial" w:hAnsi="Arial" w:cs="Arial"/>
          <w:lang w:val="en-US"/>
        </w:rPr>
      </w:pP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0B9A2162" w14:textId="2C3067BF" w:rsidR="000469EF" w:rsidRDefault="000469EF" w:rsidP="000469EF">
      <w:pPr>
        <w:pStyle w:val="LGTdoc1"/>
        <w:spacing w:beforeLines="0" w:before="120" w:after="220" w:afterAutospacing="0"/>
        <w:rPr>
          <w:sz w:val="22"/>
          <w:szCs w:val="22"/>
        </w:rPr>
      </w:pPr>
      <w:r>
        <w:rPr>
          <w:sz w:val="22"/>
          <w:szCs w:val="22"/>
          <w:u w:val="single"/>
        </w:rPr>
        <w:t xml:space="preserve">Observation 1: </w:t>
      </w:r>
      <w:r>
        <w:rPr>
          <w:sz w:val="22"/>
          <w:szCs w:val="22"/>
        </w:rPr>
        <w:t xml:space="preserve">The </w:t>
      </w:r>
      <w:r w:rsidR="00047421">
        <w:rPr>
          <w:sz w:val="22"/>
          <w:szCs w:val="22"/>
        </w:rPr>
        <w:t xml:space="preserve">DL </w:t>
      </w:r>
      <w:r>
        <w:rPr>
          <w:sz w:val="22"/>
          <w:szCs w:val="22"/>
        </w:rPr>
        <w:t>peak data rates achieved by the different mechanisms are:</w:t>
      </w:r>
    </w:p>
    <w:tbl>
      <w:tblPr>
        <w:tblStyle w:val="TableGrid"/>
        <w:tblW w:w="0" w:type="auto"/>
        <w:tblLook w:val="04A0" w:firstRow="1" w:lastRow="0" w:firstColumn="1" w:lastColumn="0" w:noHBand="0" w:noVBand="1"/>
      </w:tblPr>
      <w:tblGrid>
        <w:gridCol w:w="3120"/>
        <w:gridCol w:w="3121"/>
        <w:gridCol w:w="3121"/>
      </w:tblGrid>
      <w:tr w:rsidR="00E52071" w14:paraId="2BF6BB6E" w14:textId="77777777" w:rsidTr="000C3DD3">
        <w:tc>
          <w:tcPr>
            <w:tcW w:w="3120" w:type="dxa"/>
          </w:tcPr>
          <w:p w14:paraId="50D65AB1" w14:textId="77777777" w:rsidR="00E52071" w:rsidRDefault="00E52071" w:rsidP="000C3DD3">
            <w:pPr>
              <w:pStyle w:val="LGTdoc1"/>
              <w:spacing w:beforeLines="0" w:before="120" w:after="220" w:afterAutospacing="0"/>
              <w:rPr>
                <w:sz w:val="22"/>
                <w:szCs w:val="22"/>
              </w:rPr>
            </w:pPr>
            <w:r>
              <w:rPr>
                <w:sz w:val="22"/>
                <w:szCs w:val="22"/>
              </w:rPr>
              <w:t>Single HARQ</w:t>
            </w:r>
          </w:p>
        </w:tc>
        <w:tc>
          <w:tcPr>
            <w:tcW w:w="3121" w:type="dxa"/>
          </w:tcPr>
          <w:p w14:paraId="4A620FEE" w14:textId="77777777" w:rsidR="00E52071" w:rsidRDefault="00E52071" w:rsidP="000C3DD3">
            <w:pPr>
              <w:pStyle w:val="LGTdoc1"/>
              <w:spacing w:beforeLines="0" w:before="120" w:after="220" w:afterAutospacing="0"/>
              <w:rPr>
                <w:sz w:val="22"/>
                <w:szCs w:val="22"/>
              </w:rPr>
            </w:pPr>
            <w:r>
              <w:rPr>
                <w:sz w:val="22"/>
                <w:szCs w:val="22"/>
              </w:rPr>
              <w:t>Two HARQ [3]</w:t>
            </w:r>
          </w:p>
        </w:tc>
        <w:tc>
          <w:tcPr>
            <w:tcW w:w="3121" w:type="dxa"/>
          </w:tcPr>
          <w:p w14:paraId="2F09F487" w14:textId="77777777" w:rsidR="00E52071" w:rsidRDefault="00E52071" w:rsidP="000C3DD3">
            <w:pPr>
              <w:pStyle w:val="LGTdoc1"/>
              <w:spacing w:beforeLines="0" w:before="120" w:after="220" w:afterAutospacing="0"/>
              <w:rPr>
                <w:sz w:val="22"/>
                <w:szCs w:val="22"/>
              </w:rPr>
            </w:pPr>
            <w:r>
              <w:rPr>
                <w:sz w:val="22"/>
                <w:szCs w:val="22"/>
              </w:rPr>
              <w:t>Two HARQ[2]</w:t>
            </w:r>
          </w:p>
        </w:tc>
      </w:tr>
      <w:tr w:rsidR="00E52071" w14:paraId="67C0C7C0" w14:textId="77777777" w:rsidTr="000C3DD3">
        <w:tc>
          <w:tcPr>
            <w:tcW w:w="3120" w:type="dxa"/>
          </w:tcPr>
          <w:p w14:paraId="33814361" w14:textId="77777777" w:rsidR="00E52071" w:rsidRDefault="00E52071" w:rsidP="000C3DD3">
            <w:pPr>
              <w:pStyle w:val="LGTdoc1"/>
              <w:spacing w:beforeLines="0" w:before="120" w:after="220" w:afterAutospacing="0"/>
              <w:rPr>
                <w:sz w:val="22"/>
                <w:szCs w:val="22"/>
              </w:rPr>
            </w:pPr>
            <w:r>
              <w:rPr>
                <w:sz w:val="22"/>
                <w:szCs w:val="22"/>
              </w:rPr>
              <w:t>48.268 kbps</w:t>
            </w:r>
          </w:p>
        </w:tc>
        <w:tc>
          <w:tcPr>
            <w:tcW w:w="3121" w:type="dxa"/>
          </w:tcPr>
          <w:p w14:paraId="0102A09B" w14:textId="77777777" w:rsidR="00E52071" w:rsidRDefault="00E52071" w:rsidP="000C3DD3">
            <w:pPr>
              <w:pStyle w:val="LGTdoc1"/>
              <w:spacing w:beforeLines="0" w:before="120" w:after="220" w:afterAutospacing="0"/>
              <w:rPr>
                <w:sz w:val="22"/>
                <w:szCs w:val="22"/>
              </w:rPr>
            </w:pPr>
            <w:r>
              <w:rPr>
                <w:sz w:val="22"/>
                <w:szCs w:val="22"/>
              </w:rPr>
              <w:t>56.33 kbps (16% increase)</w:t>
            </w:r>
          </w:p>
        </w:tc>
        <w:tc>
          <w:tcPr>
            <w:tcW w:w="3121" w:type="dxa"/>
          </w:tcPr>
          <w:p w14:paraId="5CD80EE8" w14:textId="77777777" w:rsidR="00E52071" w:rsidRDefault="00E52071" w:rsidP="000C3DD3">
            <w:pPr>
              <w:pStyle w:val="LGTdoc1"/>
              <w:spacing w:beforeLines="0" w:before="120" w:after="220" w:afterAutospacing="0"/>
              <w:rPr>
                <w:sz w:val="22"/>
                <w:szCs w:val="22"/>
              </w:rPr>
            </w:pPr>
            <w:r>
              <w:rPr>
                <w:sz w:val="22"/>
                <w:szCs w:val="22"/>
              </w:rPr>
              <w:t>84.5kbps (75% increase)</w:t>
            </w:r>
          </w:p>
        </w:tc>
      </w:tr>
    </w:tbl>
    <w:p w14:paraId="318EDD8E" w14:textId="77777777" w:rsidR="00E52071" w:rsidRDefault="00E52071" w:rsidP="000469EF">
      <w:pPr>
        <w:pStyle w:val="LGTdoc1"/>
        <w:spacing w:beforeLines="0" w:before="120" w:after="220" w:afterAutospacing="0"/>
        <w:rPr>
          <w:sz w:val="22"/>
          <w:szCs w:val="22"/>
        </w:rPr>
      </w:pPr>
    </w:p>
    <w:p w14:paraId="3C639E60" w14:textId="77777777" w:rsidR="00846781" w:rsidRDefault="00846781" w:rsidP="00846781">
      <w:pPr>
        <w:pStyle w:val="LGTdoc1"/>
        <w:spacing w:beforeLines="0" w:before="120" w:after="220" w:afterAutospacing="0"/>
        <w:rPr>
          <w:sz w:val="22"/>
          <w:szCs w:val="22"/>
        </w:rPr>
      </w:pPr>
      <w:r w:rsidRPr="00846781">
        <w:rPr>
          <w:sz w:val="22"/>
          <w:szCs w:val="22"/>
          <w:u w:val="single"/>
        </w:rPr>
        <w:t>Observation 2:</w:t>
      </w:r>
      <w:r>
        <w:rPr>
          <w:b w:val="0"/>
          <w:sz w:val="22"/>
          <w:szCs w:val="22"/>
          <w:u w:val="single"/>
        </w:rPr>
        <w:t xml:space="preserve"> </w:t>
      </w:r>
      <w:r>
        <w:rPr>
          <w:sz w:val="22"/>
          <w:szCs w:val="22"/>
        </w:rPr>
        <w:t>The increase in UE complexity largely depends on the selected UE implementation. For some implementations additional timing constraints are not needed.</w:t>
      </w:r>
    </w:p>
    <w:p w14:paraId="54BFA81C" w14:textId="36FFF4C2" w:rsidR="00846781" w:rsidRDefault="00846781" w:rsidP="00846781">
      <w:pPr>
        <w:pStyle w:val="LGTdoc1"/>
        <w:spacing w:beforeLines="0" w:before="120" w:after="220" w:afterAutospacing="0"/>
        <w:rPr>
          <w:sz w:val="22"/>
          <w:szCs w:val="22"/>
        </w:rPr>
      </w:pPr>
      <w:r w:rsidRPr="00846781">
        <w:rPr>
          <w:sz w:val="22"/>
          <w:szCs w:val="22"/>
          <w:u w:val="single"/>
        </w:rPr>
        <w:t>Observation 3:</w:t>
      </w:r>
      <w:r>
        <w:rPr>
          <w:sz w:val="22"/>
          <w:szCs w:val="22"/>
        </w:rPr>
        <w:t xml:space="preserve"> The support of 2 HARQ processes </w:t>
      </w:r>
      <w:r w:rsidR="00047421">
        <w:rPr>
          <w:sz w:val="22"/>
          <w:szCs w:val="22"/>
        </w:rPr>
        <w:t>can</w:t>
      </w:r>
      <w:r>
        <w:rPr>
          <w:sz w:val="22"/>
          <w:szCs w:val="22"/>
        </w:rPr>
        <w:t xml:space="preserve"> be an optional feature at the UE side. If a particular UE does not support this feature, it should indicate so to the network and operate with lower data rates.</w:t>
      </w:r>
    </w:p>
    <w:p w14:paraId="58C331AF" w14:textId="77777777" w:rsidR="00846781" w:rsidRDefault="00846781" w:rsidP="00846781">
      <w:pPr>
        <w:pStyle w:val="LGTdoc1"/>
        <w:spacing w:beforeLines="0" w:before="120" w:after="220" w:afterAutospacing="0"/>
        <w:rPr>
          <w:sz w:val="22"/>
          <w:szCs w:val="22"/>
        </w:rPr>
      </w:pPr>
      <w:r>
        <w:rPr>
          <w:sz w:val="22"/>
          <w:szCs w:val="22"/>
          <w:u w:val="single"/>
        </w:rPr>
        <w:t xml:space="preserve">Proposal: </w:t>
      </w:r>
      <w:r>
        <w:rPr>
          <w:sz w:val="22"/>
          <w:szCs w:val="22"/>
        </w:rPr>
        <w:t>Do not introduce any additional timing constraints for operation with 2 HARQ processes.</w:t>
      </w:r>
    </w:p>
    <w:p w14:paraId="18F2BF66" w14:textId="77777777" w:rsidR="00113AF5" w:rsidRDefault="00113AF5" w:rsidP="006F5C8E">
      <w:pPr>
        <w:pStyle w:val="LGTdoc1"/>
        <w:spacing w:beforeLines="0" w:before="120" w:after="220" w:afterAutospacing="0"/>
        <w:rPr>
          <w:b w:val="0"/>
          <w:sz w:val="22"/>
          <w:szCs w:val="22"/>
        </w:rPr>
      </w:pPr>
    </w:p>
    <w:p w14:paraId="5355EFC6" w14:textId="77777777" w:rsidR="00846781" w:rsidRPr="00C872FE" w:rsidRDefault="00846781"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6127F27A" w14:textId="55D484E6" w:rsidR="008141BE" w:rsidRDefault="008141BE" w:rsidP="00FF47FD">
      <w:pPr>
        <w:pStyle w:val="LGTdoc1"/>
        <w:spacing w:before="120" w:after="220"/>
        <w:rPr>
          <w:b w:val="0"/>
          <w:sz w:val="22"/>
          <w:szCs w:val="22"/>
        </w:rPr>
      </w:pPr>
      <w:r>
        <w:rPr>
          <w:b w:val="0"/>
          <w:sz w:val="22"/>
          <w:szCs w:val="22"/>
        </w:rPr>
        <w:t>[2]</w:t>
      </w:r>
      <w:r w:rsidRPr="008141BE">
        <w:rPr>
          <w:b w:val="0"/>
          <w:sz w:val="22"/>
          <w:szCs w:val="22"/>
          <w:lang w:val="en-US"/>
        </w:rPr>
        <w:t xml:space="preserve"> R1-1611019</w:t>
      </w:r>
      <w:r>
        <w:rPr>
          <w:b w:val="0"/>
          <w:sz w:val="22"/>
          <w:szCs w:val="22"/>
          <w:lang w:val="en-US"/>
        </w:rPr>
        <w:t xml:space="preserve"> “</w:t>
      </w:r>
      <w:r w:rsidRPr="008141BE">
        <w:rPr>
          <w:b w:val="0"/>
          <w:sz w:val="22"/>
          <w:szCs w:val="22"/>
          <w:lang w:val="en-US"/>
        </w:rPr>
        <w:t>WF on timing relationship for 2 HARQ processes for Rel-14 NB-</w:t>
      </w:r>
      <w:proofErr w:type="spellStart"/>
      <w:r w:rsidRPr="008141BE">
        <w:rPr>
          <w:b w:val="0"/>
          <w:sz w:val="22"/>
          <w:szCs w:val="22"/>
          <w:lang w:val="en-US"/>
        </w:rPr>
        <w:t>IoT</w:t>
      </w:r>
      <w:proofErr w:type="spellEnd"/>
      <w:r>
        <w:rPr>
          <w:b w:val="0"/>
          <w:sz w:val="22"/>
          <w:szCs w:val="22"/>
          <w:lang w:val="en-US"/>
        </w:rPr>
        <w:t xml:space="preserve">”, </w:t>
      </w:r>
      <w:proofErr w:type="spellStart"/>
      <w:r w:rsidRPr="008141BE">
        <w:rPr>
          <w:b w:val="0"/>
          <w:sz w:val="22"/>
          <w:szCs w:val="22"/>
          <w:lang w:val="en-US"/>
        </w:rPr>
        <w:t>MediaTek</w:t>
      </w:r>
      <w:proofErr w:type="spellEnd"/>
      <w:r w:rsidRPr="008141BE">
        <w:rPr>
          <w:b w:val="0"/>
          <w:sz w:val="22"/>
          <w:szCs w:val="22"/>
          <w:lang w:val="en-US"/>
        </w:rPr>
        <w:t xml:space="preserve">, Qualcomm, DoCoMo, AT&amp;T, Softbank, ITRI, Sharp, MTI, APT, </w:t>
      </w:r>
      <w:proofErr w:type="spellStart"/>
      <w:r w:rsidRPr="008141BE">
        <w:rPr>
          <w:b w:val="0"/>
          <w:sz w:val="22"/>
          <w:szCs w:val="22"/>
          <w:lang w:val="en-US"/>
        </w:rPr>
        <w:t>Xinwei</w:t>
      </w:r>
      <w:proofErr w:type="spellEnd"/>
      <w:r w:rsidRPr="008141BE">
        <w:rPr>
          <w:b w:val="0"/>
          <w:sz w:val="22"/>
          <w:szCs w:val="22"/>
          <w:lang w:val="en-US"/>
        </w:rPr>
        <w:t>, ZTE, ZTE Microelectronics, KDDI</w:t>
      </w:r>
    </w:p>
    <w:p w14:paraId="548E1AEB" w14:textId="1A8F7733" w:rsidR="008141BE" w:rsidRDefault="008141BE" w:rsidP="00FF47FD">
      <w:pPr>
        <w:pStyle w:val="LGTdoc1"/>
        <w:spacing w:before="120" w:after="220"/>
        <w:rPr>
          <w:b w:val="0"/>
          <w:sz w:val="22"/>
          <w:szCs w:val="22"/>
        </w:rPr>
      </w:pPr>
      <w:r>
        <w:rPr>
          <w:b w:val="0"/>
          <w:sz w:val="22"/>
          <w:szCs w:val="22"/>
        </w:rPr>
        <w:t xml:space="preserve">[3] </w:t>
      </w:r>
      <w:r w:rsidRPr="008141BE">
        <w:rPr>
          <w:b w:val="0"/>
          <w:sz w:val="22"/>
          <w:szCs w:val="22"/>
          <w:lang w:val="en-US"/>
        </w:rPr>
        <w:t>R1-1610994</w:t>
      </w:r>
      <w:r>
        <w:rPr>
          <w:b w:val="0"/>
          <w:sz w:val="22"/>
          <w:szCs w:val="22"/>
          <w:lang w:val="en-US"/>
        </w:rPr>
        <w:t xml:space="preserve"> “</w:t>
      </w:r>
      <w:r w:rsidRPr="008141BE">
        <w:rPr>
          <w:b w:val="0"/>
          <w:sz w:val="22"/>
          <w:szCs w:val="22"/>
          <w:lang w:val="en-US"/>
        </w:rPr>
        <w:t>WF on timing relationships of 2 HARQ processes for NB-</w:t>
      </w:r>
      <w:proofErr w:type="spellStart"/>
      <w:r w:rsidRPr="008141BE">
        <w:rPr>
          <w:b w:val="0"/>
          <w:sz w:val="22"/>
          <w:szCs w:val="22"/>
          <w:lang w:val="en-US"/>
        </w:rPr>
        <w:t>IoT</w:t>
      </w:r>
      <w:proofErr w:type="spellEnd"/>
      <w:r w:rsidRPr="008141BE">
        <w:rPr>
          <w:b w:val="0"/>
          <w:sz w:val="22"/>
          <w:szCs w:val="22"/>
          <w:lang w:val="en-US"/>
        </w:rPr>
        <w:t xml:space="preserve"> enhancement</w:t>
      </w:r>
      <w:r>
        <w:rPr>
          <w:b w:val="0"/>
          <w:sz w:val="22"/>
          <w:szCs w:val="22"/>
          <w:lang w:val="en-US"/>
        </w:rPr>
        <w:t xml:space="preserve">”, </w:t>
      </w:r>
      <w:r w:rsidRPr="008141BE">
        <w:rPr>
          <w:b w:val="0"/>
          <w:sz w:val="22"/>
          <w:szCs w:val="22"/>
          <w:lang w:val="en-US"/>
        </w:rPr>
        <w:t xml:space="preserve">Huawei, </w:t>
      </w:r>
      <w:proofErr w:type="spellStart"/>
      <w:r w:rsidRPr="008141BE">
        <w:rPr>
          <w:b w:val="0"/>
          <w:sz w:val="22"/>
          <w:szCs w:val="22"/>
          <w:lang w:val="en-US"/>
        </w:rPr>
        <w:t>HiSilicon</w:t>
      </w:r>
      <w:proofErr w:type="spellEnd"/>
      <w:r w:rsidRPr="008141BE">
        <w:rPr>
          <w:b w:val="0"/>
          <w:sz w:val="22"/>
          <w:szCs w:val="22"/>
          <w:lang w:val="en-US"/>
        </w:rPr>
        <w:t xml:space="preserve">, Deutsche Telekom, Vodafone, China Unicom, IITH, CEWIT, IITM, </w:t>
      </w:r>
      <w:proofErr w:type="spellStart"/>
      <w:r w:rsidRPr="008141BE">
        <w:rPr>
          <w:b w:val="0"/>
          <w:sz w:val="22"/>
          <w:szCs w:val="22"/>
          <w:lang w:val="en-US"/>
        </w:rPr>
        <w:t>Tejas</w:t>
      </w:r>
      <w:proofErr w:type="spellEnd"/>
      <w:r w:rsidRPr="008141BE">
        <w:rPr>
          <w:b w:val="0"/>
          <w:sz w:val="22"/>
          <w:szCs w:val="22"/>
          <w:lang w:val="en-US"/>
        </w:rPr>
        <w:t xml:space="preserve"> Networks, Reliance </w:t>
      </w:r>
      <w:proofErr w:type="spellStart"/>
      <w:r w:rsidRPr="008141BE">
        <w:rPr>
          <w:b w:val="0"/>
          <w:sz w:val="22"/>
          <w:szCs w:val="22"/>
          <w:lang w:val="en-US"/>
        </w:rPr>
        <w:t>Jio</w:t>
      </w:r>
      <w:proofErr w:type="spellEnd"/>
      <w:r w:rsidRPr="008141BE">
        <w:rPr>
          <w:b w:val="0"/>
          <w:sz w:val="22"/>
          <w:szCs w:val="22"/>
          <w:lang w:val="en-US"/>
        </w:rPr>
        <w:t xml:space="preserve">, Ericsson, ITL, Lenovo, </w:t>
      </w:r>
      <w:proofErr w:type="spellStart"/>
      <w:r w:rsidRPr="008141BE">
        <w:rPr>
          <w:b w:val="0"/>
          <w:sz w:val="22"/>
          <w:szCs w:val="22"/>
          <w:lang w:val="en-US"/>
        </w:rPr>
        <w:t>Neul</w:t>
      </w:r>
      <w:proofErr w:type="spellEnd"/>
      <w:r w:rsidRPr="008141BE">
        <w:rPr>
          <w:b w:val="0"/>
          <w:sz w:val="22"/>
          <w:szCs w:val="22"/>
          <w:lang w:val="en-US"/>
        </w:rPr>
        <w:t xml:space="preserve">, </w:t>
      </w:r>
      <w:proofErr w:type="spellStart"/>
      <w:r w:rsidRPr="008141BE">
        <w:rPr>
          <w:b w:val="0"/>
          <w:sz w:val="22"/>
          <w:szCs w:val="22"/>
          <w:lang w:val="en-US"/>
        </w:rPr>
        <w:t>Potevio</w:t>
      </w:r>
      <w:proofErr w:type="spellEnd"/>
      <w:r w:rsidRPr="008141BE">
        <w:rPr>
          <w:b w:val="0"/>
          <w:sz w:val="22"/>
          <w:szCs w:val="22"/>
          <w:lang w:val="en-US"/>
        </w:rPr>
        <w:t>, u-</w:t>
      </w:r>
      <w:proofErr w:type="spellStart"/>
      <w:r w:rsidRPr="008141BE">
        <w:rPr>
          <w:b w:val="0"/>
          <w:sz w:val="22"/>
          <w:szCs w:val="22"/>
          <w:lang w:val="en-US"/>
        </w:rPr>
        <w:t>blox</w:t>
      </w:r>
      <w:proofErr w:type="spellEnd"/>
      <w:r w:rsidRPr="008141BE">
        <w:rPr>
          <w:b w:val="0"/>
          <w:sz w:val="22"/>
          <w:szCs w:val="22"/>
          <w:lang w:val="en-US"/>
        </w:rPr>
        <w:t>, Sony</w:t>
      </w:r>
    </w:p>
    <w:sectPr w:rsidR="008141BE"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B08B5" w14:textId="77777777" w:rsidR="007C0C23" w:rsidRDefault="007C0C23">
      <w:r>
        <w:separator/>
      </w:r>
    </w:p>
  </w:endnote>
  <w:endnote w:type="continuationSeparator" w:id="0">
    <w:p w14:paraId="61C56797" w14:textId="77777777" w:rsidR="007C0C23" w:rsidRDefault="007C0C23">
      <w:r>
        <w:continuationSeparator/>
      </w:r>
    </w:p>
  </w:endnote>
  <w:endnote w:type="continuationNotice" w:id="1">
    <w:p w14:paraId="183D8C29" w14:textId="77777777" w:rsidR="007C0C23" w:rsidRDefault="007C0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0C98">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E5A56" w14:textId="77777777" w:rsidR="007C0C23" w:rsidRDefault="007C0C23">
      <w:r>
        <w:separator/>
      </w:r>
    </w:p>
  </w:footnote>
  <w:footnote w:type="continuationSeparator" w:id="0">
    <w:p w14:paraId="1E7D40FE" w14:textId="77777777" w:rsidR="007C0C23" w:rsidRDefault="007C0C23">
      <w:r>
        <w:continuationSeparator/>
      </w:r>
    </w:p>
  </w:footnote>
  <w:footnote w:type="continuationNotice" w:id="1">
    <w:p w14:paraId="2F995D9C" w14:textId="77777777" w:rsidR="007C0C23" w:rsidRDefault="007C0C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ADD0367"/>
    <w:multiLevelType w:val="hybridMultilevel"/>
    <w:tmpl w:val="8C621BF8"/>
    <w:lvl w:ilvl="0" w:tplc="0409000B">
      <w:start w:val="1"/>
      <w:numFmt w:val="bullet"/>
      <w:lvlText w:val=""/>
      <w:lvlJc w:val="left"/>
      <w:pPr>
        <w:tabs>
          <w:tab w:val="num" w:pos="720"/>
        </w:tabs>
        <w:ind w:left="720" w:hanging="360"/>
      </w:pPr>
      <w:rPr>
        <w:rFonts w:ascii="Wingdings" w:hAnsi="Wingdings" w:hint="default"/>
        <w:b/>
        <w:i w:val="0"/>
        <w:color w:val="auto"/>
        <w:sz w:val="22"/>
      </w:rPr>
    </w:lvl>
    <w:lvl w:ilvl="1" w:tplc="04090003">
      <w:start w:val="1"/>
      <w:numFmt w:val="bullet"/>
      <w:lvlText w:val="o"/>
      <w:lvlJc w:val="left"/>
      <w:pPr>
        <w:tabs>
          <w:tab w:val="num" w:pos="-5040"/>
        </w:tabs>
        <w:ind w:left="-504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1440"/>
        </w:tabs>
        <w:ind w:left="-1440" w:hanging="360"/>
      </w:pPr>
      <w:rPr>
        <w:rFonts w:ascii="Symbol" w:hAnsi="Symbol" w:hint="default"/>
      </w:rPr>
    </w:lvl>
    <w:lvl w:ilvl="7" w:tplc="04090003" w:tentative="1">
      <w:start w:val="1"/>
      <w:numFmt w:val="bullet"/>
      <w:lvlText w:val="o"/>
      <w:lvlJc w:val="left"/>
      <w:pPr>
        <w:tabs>
          <w:tab w:val="num" w:pos="-720"/>
        </w:tabs>
        <w:ind w:left="-720" w:hanging="360"/>
      </w:pPr>
      <w:rPr>
        <w:rFonts w:ascii="Courier New" w:hAnsi="Courier New" w:cs="Courier New" w:hint="default"/>
      </w:rPr>
    </w:lvl>
    <w:lvl w:ilvl="8" w:tplc="04090005" w:tentative="1">
      <w:start w:val="1"/>
      <w:numFmt w:val="bullet"/>
      <w:lvlText w:val=""/>
      <w:lvlJc w:val="left"/>
      <w:pPr>
        <w:tabs>
          <w:tab w:val="num" w:pos="0"/>
        </w:tabs>
        <w:ind w:left="0" w:hanging="360"/>
      </w:pPr>
      <w:rPr>
        <w:rFonts w:ascii="Wingdings" w:hAnsi="Wingding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3D7213B"/>
    <w:multiLevelType w:val="hybridMultilevel"/>
    <w:tmpl w:val="1A3CE96E"/>
    <w:lvl w:ilvl="0" w:tplc="3A6EF7E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152BF"/>
    <w:multiLevelType w:val="hybridMultilevel"/>
    <w:tmpl w:val="50DEE78A"/>
    <w:lvl w:ilvl="0" w:tplc="F4AAD6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C7EB5"/>
    <w:multiLevelType w:val="hybridMultilevel"/>
    <w:tmpl w:val="B180F54E"/>
    <w:lvl w:ilvl="0" w:tplc="F4AAD6C4">
      <w:numFmt w:val="bullet"/>
      <w:lvlText w:val="-"/>
      <w:lvlJc w:val="left"/>
      <w:pPr>
        <w:ind w:left="720" w:hanging="360"/>
      </w:pPr>
      <w:rPr>
        <w:rFonts w:ascii="Times New Roman" w:eastAsia="Batang" w:hAnsi="Times New Roman" w:cs="Times New Roman" w:hint="default"/>
      </w:rPr>
    </w:lvl>
    <w:lvl w:ilvl="1" w:tplc="F4AAD6C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0080E1F"/>
    <w:multiLevelType w:val="hybridMultilevel"/>
    <w:tmpl w:val="D0B09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58881F6F"/>
    <w:multiLevelType w:val="hybridMultilevel"/>
    <w:tmpl w:val="C04E1A30"/>
    <w:lvl w:ilvl="0" w:tplc="F4AAD6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5"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8010"/>
        </w:tabs>
        <w:ind w:left="-8010" w:hanging="360"/>
      </w:pPr>
      <w:rPr>
        <w:rFonts w:ascii="Courier New" w:hAnsi="Courier New" w:cs="Courier New" w:hint="default"/>
      </w:rPr>
    </w:lvl>
    <w:lvl w:ilvl="2" w:tplc="04090005">
      <w:start w:val="1"/>
      <w:numFmt w:val="bullet"/>
      <w:lvlText w:val=""/>
      <w:lvlJc w:val="left"/>
      <w:pPr>
        <w:tabs>
          <w:tab w:val="num" w:pos="-7290"/>
        </w:tabs>
        <w:ind w:left="-7290" w:hanging="360"/>
      </w:pPr>
      <w:rPr>
        <w:rFonts w:ascii="Wingdings" w:hAnsi="Wingdings" w:hint="default"/>
      </w:rPr>
    </w:lvl>
    <w:lvl w:ilvl="3" w:tplc="04090001">
      <w:start w:val="1"/>
      <w:numFmt w:val="bullet"/>
      <w:lvlText w:val=""/>
      <w:lvlJc w:val="left"/>
      <w:pPr>
        <w:tabs>
          <w:tab w:val="num" w:pos="-6570"/>
        </w:tabs>
        <w:ind w:left="-6570" w:hanging="360"/>
      </w:pPr>
      <w:rPr>
        <w:rFonts w:ascii="Symbol" w:hAnsi="Symbol" w:hint="default"/>
      </w:rPr>
    </w:lvl>
    <w:lvl w:ilvl="4" w:tplc="04090003" w:tentative="1">
      <w:start w:val="1"/>
      <w:numFmt w:val="bullet"/>
      <w:lvlText w:val="o"/>
      <w:lvlJc w:val="left"/>
      <w:pPr>
        <w:tabs>
          <w:tab w:val="num" w:pos="-5850"/>
        </w:tabs>
        <w:ind w:left="-585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3690"/>
        </w:tabs>
        <w:ind w:left="-3690" w:hanging="360"/>
      </w:pPr>
      <w:rPr>
        <w:rFonts w:ascii="Courier New" w:hAnsi="Courier New" w:cs="Courier New" w:hint="default"/>
      </w:rPr>
    </w:lvl>
    <w:lvl w:ilvl="8" w:tplc="04090005" w:tentative="1">
      <w:start w:val="1"/>
      <w:numFmt w:val="bullet"/>
      <w:lvlText w:val=""/>
      <w:lvlJc w:val="left"/>
      <w:pPr>
        <w:tabs>
          <w:tab w:val="num" w:pos="-2970"/>
        </w:tabs>
        <w:ind w:left="-2970" w:hanging="360"/>
      </w:pPr>
      <w:rPr>
        <w:rFonts w:ascii="Wingdings" w:hAnsi="Wingdings" w:hint="default"/>
      </w:rPr>
    </w:lvl>
  </w:abstractNum>
  <w:abstractNum w:abstractNumId="17"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9"/>
  </w:num>
  <w:num w:numId="2">
    <w:abstractNumId w:val="7"/>
  </w:num>
  <w:num w:numId="3">
    <w:abstractNumId w:val="11"/>
  </w:num>
  <w:num w:numId="4">
    <w:abstractNumId w:val="18"/>
  </w:num>
  <w:num w:numId="5">
    <w:abstractNumId w:val="19"/>
  </w:num>
  <w:num w:numId="6">
    <w:abstractNumId w:val="0"/>
  </w:num>
  <w:num w:numId="7">
    <w:abstractNumId w:val="20"/>
  </w:num>
  <w:num w:numId="8">
    <w:abstractNumId w:val="14"/>
  </w:num>
  <w:num w:numId="9">
    <w:abstractNumId w:val="5"/>
  </w:num>
  <w:num w:numId="10">
    <w:abstractNumId w:val="8"/>
  </w:num>
  <w:num w:numId="11">
    <w:abstractNumId w:val="2"/>
  </w:num>
  <w:num w:numId="12">
    <w:abstractNumId w:val="17"/>
  </w:num>
  <w:num w:numId="13">
    <w:abstractNumId w:val="15"/>
  </w:num>
  <w:num w:numId="14">
    <w:abstractNumId w:val="16"/>
  </w:num>
  <w:num w:numId="15">
    <w:abstractNumId w:val="1"/>
  </w:num>
  <w:num w:numId="16">
    <w:abstractNumId w:val="3"/>
  </w:num>
  <w:num w:numId="17">
    <w:abstractNumId w:val="13"/>
  </w:num>
  <w:num w:numId="18">
    <w:abstractNumId w:val="12"/>
  </w:num>
  <w:num w:numId="19">
    <w:abstractNumId w:val="10"/>
  </w:num>
  <w:num w:numId="20">
    <w:abstractNumId w:val="4"/>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1AC"/>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4A"/>
    <w:rsid w:val="00046061"/>
    <w:rsid w:val="000461D0"/>
    <w:rsid w:val="0004659D"/>
    <w:rsid w:val="000469EF"/>
    <w:rsid w:val="00046C16"/>
    <w:rsid w:val="00047421"/>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AD2"/>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39"/>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150"/>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EC5"/>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1"/>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0F7"/>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C98"/>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AEA"/>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7DF"/>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C23"/>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1BE"/>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781"/>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606"/>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851"/>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999"/>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DE"/>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3"/>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2F70"/>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071"/>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2B9"/>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42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next w:val="Normal"/>
    <w:rsid w:val="00BC26DE"/>
    <w:pPr>
      <w:widowControl/>
      <w:numPr>
        <w:numId w:val="14"/>
      </w:numPr>
      <w:tabs>
        <w:tab w:val="num" w:pos="1800"/>
      </w:tabs>
      <w:wordWrap/>
      <w:autoSpaceDE/>
      <w:autoSpaceDN/>
      <w:spacing w:before="60"/>
      <w:ind w:left="1800"/>
      <w:jc w:val="left"/>
    </w:pPr>
    <w:rPr>
      <w:rFonts w:ascii="Arial" w:eastAsia="MS Mincho" w:hAnsi="Arial"/>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015536">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45895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45265456">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517908">
      <w:bodyDiv w:val="1"/>
      <w:marLeft w:val="0"/>
      <w:marRight w:val="0"/>
      <w:marTop w:val="0"/>
      <w:marBottom w:val="0"/>
      <w:divBdr>
        <w:top w:val="none" w:sz="0" w:space="0" w:color="auto"/>
        <w:left w:val="none" w:sz="0" w:space="0" w:color="auto"/>
        <w:bottom w:val="none" w:sz="0" w:space="0" w:color="auto"/>
        <w:right w:val="none" w:sz="0" w:space="0" w:color="auto"/>
      </w:divBdr>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09442605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BC7362-27D4-4006-B0C6-13B27E6DC2F6}">
  <ds:schemaRefs>
    <ds:schemaRef ds:uri="http://schemas.openxmlformats.org/officeDocument/2006/bibliography"/>
  </ds:schemaRefs>
</ds:datastoreItem>
</file>

<file path=customXml/itemProps7.xml><?xml version="1.0" encoding="utf-8"?>
<ds:datastoreItem xmlns:ds="http://schemas.openxmlformats.org/officeDocument/2006/customXml" ds:itemID="{1707BBDC-F823-4E6C-B639-98D6C141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1</Pages>
  <Words>835</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43</cp:revision>
  <cp:lastPrinted>2010-08-13T21:54:00Z</cp:lastPrinted>
  <dcterms:created xsi:type="dcterms:W3CDTF">2016-03-22T22:35:00Z</dcterms:created>
  <dcterms:modified xsi:type="dcterms:W3CDTF">2016-11-05T00:53:00Z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